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使用说明</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黑体" w:hAnsi="黑体" w:eastAsia="黑体" w:cs="黑体"/>
          <w:b w:val="0"/>
          <w:bCs w:val="0"/>
          <w:iCs/>
          <w:sz w:val="52"/>
          <w:szCs w:val="52"/>
          <w:lang w:val="en-US" w:eastAsia="zh-CN"/>
        </w:rPr>
      </w:pPr>
      <w:r>
        <w:rPr>
          <w:rFonts w:hint="eastAsia" w:ascii="黑体" w:hAnsi="黑体" w:eastAsia="黑体" w:cs="黑体"/>
          <w:b w:val="0"/>
          <w:bCs w:val="0"/>
          <w:iCs/>
          <w:sz w:val="52"/>
          <w:szCs w:val="52"/>
          <w:lang w:val="en-US" w:eastAsia="zh-CN"/>
        </w:rPr>
        <w:t>VEMS停车场收费管理系统</w:t>
      </w:r>
    </w:p>
    <w:p>
      <w:pPr>
        <w:ind w:firstLine="0" w:firstLineChars="0"/>
        <w:jc w:val="center"/>
        <w:rPr>
          <w:rFonts w:hint="eastAsia" w:ascii="黑体" w:hAnsi="黑体" w:eastAsia="黑体" w:cs="黑体"/>
          <w:b w:val="0"/>
          <w:bCs w:val="0"/>
          <w:iCs/>
          <w:sz w:val="48"/>
          <w:szCs w:val="48"/>
          <w:lang w:val="en-US" w:eastAsia="zh-CN"/>
        </w:rPr>
      </w:pPr>
      <w:r>
        <w:rPr>
          <w:rFonts w:hint="eastAsia" w:ascii="黑体" w:hAnsi="黑体" w:eastAsia="黑体" w:cs="黑体"/>
          <w:b w:val="0"/>
          <w:bCs w:val="0"/>
          <w:iCs/>
          <w:sz w:val="48"/>
          <w:szCs w:val="48"/>
          <w:lang w:val="en-US" w:eastAsia="zh-CN"/>
        </w:rPr>
        <w:t>使用说明</w:t>
      </w:r>
    </w:p>
    <w:tbl>
      <w:tblPr>
        <w:tblStyle w:val="10"/>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拟制人/</w:t>
            </w:r>
          </w:p>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w:t>
            </w:r>
          </w:p>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主要更改内容</w:t>
            </w:r>
          </w:p>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V1.0</w:t>
            </w:r>
          </w:p>
        </w:tc>
        <w:tc>
          <w:tcPr>
            <w:tcW w:w="980"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陈钰贤</w:t>
            </w:r>
          </w:p>
        </w:tc>
        <w:tc>
          <w:tcPr>
            <w:tcW w:w="1270"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2018-07-26</w:t>
            </w:r>
          </w:p>
        </w:tc>
        <w:tc>
          <w:tcPr>
            <w:tcW w:w="930"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p>
        </w:tc>
        <w:tc>
          <w:tcPr>
            <w:tcW w:w="1630"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c>
          <w:tcPr>
            <w:tcW w:w="4117"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5"/>
              <w:ind w:left="0" w:leftChars="0" w:firstLine="0" w:firstLineChars="0"/>
              <w:rPr>
                <w:rFonts w:hint="eastAsia" w:ascii="黑体" w:hAnsi="黑体" w:eastAsia="黑体" w:cs="黑体"/>
                <w:color w:val="000000"/>
                <w:sz w:val="21"/>
                <w:szCs w:val="21"/>
              </w:rPr>
            </w:pPr>
          </w:p>
          <w:p>
            <w:pPr>
              <w:pStyle w:val="5"/>
              <w:ind w:left="0" w:leftChars="0" w:firstLine="0" w:firstLineChars="0"/>
              <w:rPr>
                <w:rFonts w:hint="eastAsia" w:ascii="黑体" w:hAnsi="黑体" w:eastAsia="黑体" w:cs="黑体"/>
                <w:color w:val="000000"/>
                <w:sz w:val="21"/>
                <w:szCs w:val="21"/>
              </w:rPr>
            </w:pPr>
            <w:r>
              <w:rPr>
                <w:rFonts w:hint="eastAsia" w:ascii="黑体" w:hAnsi="黑体" w:eastAsia="黑体" w:cs="黑体"/>
                <w:color w:val="000000"/>
                <w:sz w:val="21"/>
                <w:szCs w:val="21"/>
              </w:rPr>
              <w:t>注1：每次更改归档文件时，需填写此表。</w:t>
            </w:r>
          </w:p>
          <w:p>
            <w:pPr>
              <w:pStyle w:val="5"/>
              <w:ind w:left="0" w:leftChars="0" w:firstLine="0" w:firstLineChars="0"/>
              <w:rPr>
                <w:rFonts w:hint="eastAsia" w:ascii="黑体" w:hAnsi="黑体" w:eastAsia="黑体" w:cs="黑体"/>
                <w:color w:val="000000"/>
                <w:sz w:val="21"/>
                <w:szCs w:val="21"/>
              </w:rPr>
            </w:pPr>
            <w:r>
              <w:rPr>
                <w:rFonts w:hint="eastAsia" w:ascii="黑体" w:hAnsi="黑体" w:eastAsia="黑体" w:cs="黑体"/>
                <w:color w:val="000000"/>
                <w:sz w:val="21"/>
                <w:szCs w:val="21"/>
              </w:rPr>
              <w:t>注2：文件第一次归档时，“更改理由”、“主要更改内容”栏写“无”。</w:t>
            </w:r>
          </w:p>
          <w:p>
            <w:pPr>
              <w:pStyle w:val="5"/>
              <w:ind w:left="0" w:leftChars="0" w:firstLine="0" w:firstLineChars="0"/>
              <w:rPr>
                <w:rFonts w:hint="eastAsia" w:ascii="黑体" w:hAnsi="黑体" w:eastAsia="黑体" w:cs="黑体"/>
                <w:color w:val="000000"/>
                <w:sz w:val="18"/>
                <w:szCs w:val="18"/>
                <w:lang w:eastAsia="zh-CN"/>
              </w:rPr>
            </w:pPr>
            <w:r>
              <w:rPr>
                <w:rFonts w:hint="eastAsia" w:ascii="黑体" w:hAnsi="黑体" w:eastAsia="黑体" w:cs="黑体"/>
                <w:color w:val="000000"/>
                <w:sz w:val="21"/>
                <w:szCs w:val="21"/>
                <w:lang w:eastAsia="zh-CN"/>
              </w:rPr>
              <w:t>注</w:t>
            </w:r>
            <w:r>
              <w:rPr>
                <w:rFonts w:hint="eastAsia" w:ascii="黑体" w:hAnsi="黑体" w:eastAsia="黑体" w:cs="黑体"/>
                <w:color w:val="000000"/>
                <w:sz w:val="21"/>
                <w:szCs w:val="21"/>
                <w:lang w:val="en-US" w:eastAsia="zh-CN"/>
              </w:rPr>
              <w:t>3：参考《视频一体式停车场管理系统全流程配置说明》来编写</w:t>
            </w:r>
          </w:p>
        </w:tc>
      </w:tr>
    </w:tbl>
    <w:p>
      <w:pPr>
        <w:ind w:left="0" w:leftChars="0" w:firstLine="0" w:firstLineChars="0"/>
        <w:rPr>
          <w:rFonts w:hint="eastAsia" w:ascii="黑体" w:hAnsi="黑体" w:eastAsia="黑体" w:cs="黑体"/>
          <w:lang w:eastAsia="zh-CN"/>
        </w:rPr>
        <w:sectPr>
          <w:pgSz w:w="11906" w:h="16838"/>
          <w:pgMar w:top="1440" w:right="1080" w:bottom="1440" w:left="1080" w:header="851" w:footer="992" w:gutter="0"/>
          <w:cols w:space="425" w:num="1"/>
          <w:docGrid w:type="lines" w:linePitch="312" w:charSpace="0"/>
        </w:sectPr>
      </w:pPr>
    </w:p>
    <w:p>
      <w:pPr>
        <w:pStyle w:val="2"/>
        <w:ind w:left="0" w:leftChars="0" w:firstLine="0" w:firstLineChars="0"/>
        <w:jc w:val="center"/>
        <w:rPr>
          <w:rFonts w:hint="eastAsia" w:ascii="黑体" w:hAnsi="黑体" w:eastAsia="黑体" w:cs="黑体"/>
          <w:b/>
          <w:sz w:val="32"/>
          <w:szCs w:val="32"/>
          <w:lang w:val="en-US" w:eastAsia="zh-CN"/>
        </w:rPr>
      </w:pPr>
      <w:bookmarkStart w:id="0" w:name="_Toc813"/>
      <w:r>
        <w:rPr>
          <w:rFonts w:hint="eastAsia" w:ascii="黑体" w:hAnsi="黑体" w:eastAsia="黑体" w:cs="黑体"/>
          <w:b/>
          <w:sz w:val="32"/>
          <w:szCs w:val="32"/>
          <w:lang w:val="en-US" w:eastAsia="zh-CN"/>
        </w:rPr>
        <w:t>目录</w:t>
      </w:r>
      <w:bookmarkEnd w:id="0"/>
    </w:p>
    <w:p>
      <w:pPr>
        <w:pStyle w:val="7"/>
        <w:tabs>
          <w:tab w:val="right" w:leader="dot" w:pos="9746"/>
        </w:tabs>
      </w:pPr>
      <w:r>
        <w:fldChar w:fldCharType="begin"/>
      </w:r>
      <w:r>
        <w:instrText xml:space="preserve">TOC \o "1-3" \h \u </w:instrText>
      </w:r>
      <w:r>
        <w:fldChar w:fldCharType="separate"/>
      </w:r>
      <w:r>
        <w:fldChar w:fldCharType="begin"/>
      </w:r>
      <w:r>
        <w:instrText xml:space="preserve"> HYPERLINK \l _Toc813 </w:instrText>
      </w:r>
      <w:r>
        <w:fldChar w:fldCharType="separate"/>
      </w:r>
      <w:r>
        <w:rPr>
          <w:rFonts w:hint="eastAsia" w:ascii="黑体" w:hAnsi="黑体" w:eastAsia="黑体" w:cs="黑体"/>
          <w:szCs w:val="32"/>
          <w:lang w:val="en-US" w:eastAsia="zh-CN"/>
        </w:rPr>
        <w:t>目录</w:t>
      </w:r>
      <w:r>
        <w:tab/>
      </w:r>
      <w:r>
        <w:fldChar w:fldCharType="begin"/>
      </w:r>
      <w:r>
        <w:instrText xml:space="preserve"> PAGEREF _Toc813 </w:instrText>
      </w:r>
      <w:r>
        <w:fldChar w:fldCharType="separate"/>
      </w:r>
      <w:r>
        <w:t>3</w:t>
      </w:r>
      <w:r>
        <w:fldChar w:fldCharType="end"/>
      </w:r>
      <w: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一、 管理配置流程--系统角色及用户的创建</w:t>
      </w:r>
      <w:r>
        <w:tab/>
      </w:r>
      <w:r>
        <w:fldChar w:fldCharType="begin"/>
      </w:r>
      <w:r>
        <w:instrText xml:space="preserve"> PAGEREF _Toc17945 </w:instrText>
      </w:r>
      <w:r>
        <w:fldChar w:fldCharType="separate"/>
      </w:r>
      <w:r>
        <w:t>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_Toc13256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（一）创建系统角色</w:t>
      </w:r>
      <w:r>
        <w:tab/>
      </w:r>
      <w:r>
        <w:fldChar w:fldCharType="begin"/>
      </w:r>
      <w:r>
        <w:instrText xml:space="preserve"> PAGEREF _Toc13256 </w:instrText>
      </w:r>
      <w:r>
        <w:fldChar w:fldCharType="separate"/>
      </w:r>
      <w:r>
        <w:t>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_Toc6615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（二）创建系统用户</w:t>
      </w:r>
      <w:r>
        <w:tab/>
      </w:r>
      <w:r>
        <w:fldChar w:fldCharType="begin"/>
      </w:r>
      <w:r>
        <w:instrText xml:space="preserve"> PAGEREF _Toc6615 </w:instrText>
      </w:r>
      <w:r>
        <w:fldChar w:fldCharType="separate"/>
      </w:r>
      <w:r>
        <w:t>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二、 VIP配置流程--月保车的配置及管理</w:t>
      </w:r>
      <w:r>
        <w:tab/>
      </w:r>
      <w:r>
        <w:fldChar w:fldCharType="begin"/>
      </w:r>
      <w:r>
        <w:instrText xml:space="preserve"> PAGEREF _Toc8969 </w:instrText>
      </w:r>
      <w:r>
        <w:fldChar w:fldCharType="separate"/>
      </w:r>
      <w:r>
        <w:t>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（一）新增VIP类型</w:t>
      </w:r>
      <w:r>
        <w:tab/>
      </w:r>
      <w:r>
        <w:fldChar w:fldCharType="begin"/>
      </w:r>
      <w:r>
        <w:instrText xml:space="preserve"> PAGEREF _Toc15169 </w:instrText>
      </w:r>
      <w:r>
        <w:fldChar w:fldCharType="separate"/>
      </w:r>
      <w:r>
        <w:t>7</w:t>
      </w:r>
      <w:r>
        <w:fldChar w:fldCharType="end"/>
      </w:r>
      <w:r>
        <w:rPr>
          <w:rFonts w:ascii="宋体" w:hAnsiTheme="minorHAnsi" w:eastAsiaTheme="minorEastAsia" w:cstheme="minorBidi"/>
          <w:kern w:val="2"/>
          <w:szCs w:val="24"/>
          <w:lang w:val="en-US" w:eastAsia="zh-CN" w:bidi="ar-SA"/>
        </w:rPr>
        <w:fldChar w:fldCharType="end"/>
      </w:r>
    </w:p>
    <w:p>
      <w:pPr>
        <w:pStyle w:val="6"/>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_Toc25953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1、月卡车、储值车的设置</w:t>
      </w:r>
      <w:r>
        <w:tab/>
      </w:r>
      <w:r>
        <w:fldChar w:fldCharType="begin"/>
      </w:r>
      <w:r>
        <w:instrText xml:space="preserve"> PAGEREF _Toc25953 </w:instrText>
      </w:r>
      <w:r>
        <w:fldChar w:fldCharType="separate"/>
      </w:r>
      <w:r>
        <w:t>8</w:t>
      </w:r>
      <w:r>
        <w:fldChar w:fldCharType="end"/>
      </w:r>
      <w:r>
        <w:rPr>
          <w:rFonts w:ascii="宋体" w:hAnsiTheme="minorHAnsi" w:eastAsiaTheme="minorEastAsia" w:cstheme="minorBidi"/>
          <w:kern w:val="2"/>
          <w:szCs w:val="24"/>
          <w:lang w:val="en-US" w:eastAsia="zh-CN" w:bidi="ar-SA"/>
        </w:rPr>
        <w:fldChar w:fldCharType="end"/>
      </w:r>
    </w:p>
    <w:p>
      <w:pPr>
        <w:pStyle w:val="6"/>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2、多位多车</w:t>
      </w:r>
      <w:r>
        <w:tab/>
      </w:r>
      <w:r>
        <w:fldChar w:fldCharType="begin"/>
      </w:r>
      <w:r>
        <w:instrText xml:space="preserve"> PAGEREF _Toc9244 </w:instrText>
      </w:r>
      <w:r>
        <w:fldChar w:fldCharType="separate"/>
      </w:r>
      <w:r>
        <w:t>8</w:t>
      </w:r>
      <w:r>
        <w:fldChar w:fldCharType="end"/>
      </w:r>
      <w:r>
        <w:rPr>
          <w:rFonts w:ascii="宋体" w:hAnsiTheme="minorHAnsi" w:eastAsiaTheme="minorEastAsia" w:cstheme="minorBidi"/>
          <w:kern w:val="2"/>
          <w:szCs w:val="24"/>
          <w:lang w:val="en-US" w:eastAsia="zh-CN" w:bidi="ar-SA"/>
        </w:rPr>
        <w:fldChar w:fldCharType="end"/>
      </w:r>
    </w:p>
    <w:p>
      <w:pPr>
        <w:pStyle w:val="6"/>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3、满位控制</w:t>
      </w:r>
      <w:r>
        <w:tab/>
      </w:r>
      <w:r>
        <w:fldChar w:fldCharType="begin"/>
      </w:r>
      <w:r>
        <w:instrText xml:space="preserve"> PAGEREF _Toc12358 </w:instrText>
      </w:r>
      <w:r>
        <w:fldChar w:fldCharType="separate"/>
      </w:r>
      <w:r>
        <w:t>10</w:t>
      </w:r>
      <w:r>
        <w:fldChar w:fldCharType="end"/>
      </w:r>
      <w:r>
        <w:rPr>
          <w:rFonts w:ascii="宋体" w:hAnsiTheme="minorHAnsi" w:eastAsiaTheme="minorEastAsia" w:cstheme="minorBidi"/>
          <w:kern w:val="2"/>
          <w:szCs w:val="24"/>
          <w:lang w:val="en-US" w:eastAsia="zh-CN" w:bidi="ar-SA"/>
        </w:rPr>
        <w:fldChar w:fldCharType="end"/>
      </w:r>
    </w:p>
    <w:p>
      <w:pPr>
        <w:pStyle w:val="6"/>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4、设置独立计费组</w:t>
      </w:r>
      <w:r>
        <w:tab/>
      </w:r>
      <w:r>
        <w:fldChar w:fldCharType="begin"/>
      </w:r>
      <w:r>
        <w:instrText xml:space="preserve"> PAGEREF _Toc29605 </w:instrText>
      </w:r>
      <w:r>
        <w:fldChar w:fldCharType="separate"/>
      </w:r>
      <w:r>
        <w:t>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（二）开通VIP</w:t>
      </w:r>
      <w:r>
        <w:tab/>
      </w:r>
      <w:r>
        <w:fldChar w:fldCharType="begin"/>
      </w:r>
      <w:r>
        <w:instrText xml:space="preserve"> PAGEREF _Toc28449 </w:instrText>
      </w:r>
      <w:r>
        <w:fldChar w:fldCharType="separate"/>
      </w:r>
      <w:r>
        <w:t>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（三）VIP-退款</w:t>
      </w:r>
      <w:r>
        <w:tab/>
      </w:r>
      <w:r>
        <w:fldChar w:fldCharType="begin"/>
      </w:r>
      <w:r>
        <w:instrText xml:space="preserve"> PAGEREF _Toc29782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_Toc25704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（四）VIP-续期/重开</w:t>
      </w:r>
      <w:r>
        <w:tab/>
      </w:r>
      <w:r>
        <w:fldChar w:fldCharType="begin"/>
      </w:r>
      <w:r>
        <w:instrText xml:space="preserve"> PAGEREF _Toc25704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_Toc8460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（五）VIP-暂停/恢复</w:t>
      </w:r>
      <w:r>
        <w:tab/>
      </w:r>
      <w:r>
        <w:fldChar w:fldCharType="begin"/>
      </w:r>
      <w:r>
        <w:instrText xml:space="preserve"> PAGEREF _Toc8460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（六）同步VIP</w:t>
      </w:r>
      <w:r>
        <w:tab/>
      </w:r>
      <w:r>
        <w:fldChar w:fldCharType="begin"/>
      </w:r>
      <w:r>
        <w:instrText xml:space="preserve"> PAGEREF _Toc24773 </w:instrText>
      </w:r>
      <w:r>
        <w:fldChar w:fldCharType="separate"/>
      </w:r>
      <w:r>
        <w:t>17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_Toc11292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三、 对账流程--查看流水和报表</w:t>
      </w:r>
      <w:r>
        <w:tab/>
      </w:r>
      <w:r>
        <w:fldChar w:fldCharType="begin"/>
      </w:r>
      <w:r>
        <w:instrText xml:space="preserve"> PAGEREF _Toc11292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（一）临时车的对账</w:t>
      </w:r>
      <w:r>
        <w:tab/>
      </w:r>
      <w:r>
        <w:fldChar w:fldCharType="begin"/>
      </w:r>
      <w:r>
        <w:instrText xml:space="preserve"> PAGEREF _Toc10301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_Toc24669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（二）VIP的对账</w:t>
      </w:r>
      <w:r>
        <w:tab/>
      </w:r>
      <w:r>
        <w:fldChar w:fldCharType="begin"/>
      </w:r>
      <w:r>
        <w:instrText xml:space="preserve"> PAGEREF _Toc24669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（三）其他报表的使用介绍</w:t>
      </w:r>
      <w:r>
        <w:tab/>
      </w:r>
      <w:r>
        <w:fldChar w:fldCharType="begin"/>
      </w:r>
      <w:r>
        <w:instrText xml:space="preserve"> PAGEREF _Toc7593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_Toc13103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四、 本地优惠配置流程--优惠券</w:t>
      </w:r>
      <w:r>
        <w:tab/>
      </w:r>
      <w:r>
        <w:fldChar w:fldCharType="begin"/>
      </w:r>
      <w:r>
        <w:instrText xml:space="preserve"> PAGEREF _Toc13103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rPr>
          <w:rFonts w:ascii="宋体" w:hAnsiTheme="minorHAnsi" w:eastAsiaTheme="minorEastAsia" w:cstheme="minorBidi"/>
          <w:kern w:val="2"/>
          <w:szCs w:val="24"/>
          <w:lang w:val="en-US" w:eastAsia="zh-CN" w:bidi="ar-SA"/>
        </w:rPr>
        <w:sectPr>
          <w:pgSz w:w="11906" w:h="16838"/>
          <w:pgMar w:top="1440" w:right="1080" w:bottom="1440" w:left="1080" w:header="851" w:footer="992" w:gutter="0"/>
          <w:cols w:space="425" w:num="1"/>
          <w:docGrid w:type="lines" w:linePitch="312" w:charSpace="0"/>
        </w:sectPr>
      </w:pPr>
      <w:r>
        <w:rPr>
          <w:rFonts w:ascii="宋体" w:hAnsiTheme="minorHAnsi" w:eastAsiaTheme="minorEastAsia" w:cstheme="minorBidi"/>
          <w:kern w:val="2"/>
          <w:szCs w:val="24"/>
          <w:lang w:val="en-US" w:eastAsia="zh-CN" w:bidi="ar-SA"/>
        </w:rPr>
        <w:fldChar w:fldCharType="end"/>
      </w: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1" w:name="_Toc17945"/>
      <w:r>
        <w:rPr>
          <w:rFonts w:hint="eastAsia" w:ascii="黑体" w:hAnsi="黑体" w:eastAsia="黑体" w:cs="黑体"/>
          <w:b/>
          <w:sz w:val="32"/>
          <w:szCs w:val="32"/>
          <w:lang w:val="en-US" w:eastAsia="zh-CN"/>
        </w:rPr>
        <w:t>管理配置流程--系统角色及用户的创建</w:t>
      </w:r>
      <w:bookmarkEnd w:id="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在系统管理模块可为停车场管理人员创建系统用户和配置角色权限，对不同责任的人员给予不同的权限。</w:t>
      </w:r>
    </w:p>
    <w:p>
      <w:pPr>
        <w:pStyle w:val="3"/>
        <w:ind w:left="0" w:leftChars="0" w:firstLine="0" w:firstLineChars="0"/>
        <w:rPr>
          <w:rFonts w:hint="eastAsia" w:ascii="黑体" w:hAnsi="黑体" w:eastAsia="黑体" w:cs="黑体"/>
          <w:b/>
          <w:sz w:val="30"/>
          <w:szCs w:val="30"/>
          <w:lang w:val="en-US" w:eastAsia="zh-CN"/>
        </w:rPr>
      </w:pPr>
      <w:bookmarkStart w:id="2" w:name="_Toc13256"/>
      <w:r>
        <w:rPr>
          <w:rFonts w:hint="eastAsia" w:ascii="黑体" w:hAnsi="黑体" w:eastAsia="黑体" w:cs="黑体"/>
          <w:b/>
          <w:sz w:val="30"/>
          <w:szCs w:val="30"/>
          <w:lang w:val="en-US" w:eastAsia="zh-CN"/>
        </w:rPr>
        <w:t>（一）创建系统角色</w:t>
      </w:r>
      <w:bookmarkEnd w:id="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系统管理-角色管理</w:t>
      </w:r>
      <w:r>
        <w:rPr>
          <w:rFonts w:hint="eastAsia" w:ascii="黑体" w:hAnsi="黑体" w:eastAsia="黑体" w:cs="黑体"/>
          <w:sz w:val="24"/>
          <w:szCs w:val="24"/>
          <w:lang w:val="en-US" w:eastAsia="zh-CN"/>
        </w:rPr>
        <w:t>模块创建系统角色，如财务、管理员、运维人员等角色。</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6"/>
                    <pic:cNvPicPr>
                      <a:picLocks noChangeAspect="1"/>
                    </pic:cNvPicPr>
                  </pic:nvPicPr>
                  <pic:blipFill>
                    <a:blip r:embed="rId4"/>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创建角色后为该角色设置在系统中拥有的权限。</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8"/>
                    <pic:cNvPicPr>
                      <a:picLocks noChangeAspect="1"/>
                    </pic:cNvPicPr>
                  </pic:nvPicPr>
                  <pic:blipFill>
                    <a:blip r:embed="rId5"/>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创建何种角色及角色所拥有的权限根据车场实际情况进行设定，也可参考附件中的系统角色权限表进行设置。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eastAsia="zh-CN"/>
        </w:rPr>
      </w:pPr>
      <w:r>
        <w:rPr>
          <w:rFonts w:hint="eastAsia" w:ascii="黑体" w:hAnsi="黑体" w:eastAsia="黑体" w:cs="黑体"/>
          <w:lang w:eastAsia="zh-CN"/>
        </w:rPr>
        <w:object>
          <v:shape id="_x0000_i1025" o:spt="75" type="#_x0000_t75" style="height:65.5pt;width:72.5pt;" o:ole="t" filled="f" o:preferrelative="t" stroked="f" coordsize="21600,21600">
            <v:path/>
            <v:fill on="f" focussize="0,0"/>
            <v:stroke on="f"/>
            <v:imagedata r:id="rId7" o:title=""/>
            <o:lock v:ext="edit" aspectratio="t"/>
            <w10:wrap type="none"/>
            <w10:anchorlock/>
          </v:shape>
          <o:OLEObject Type="Embed" ProgID="Excel.Sheet.8" ShapeID="_x0000_i1025" DrawAspect="Icon" ObjectID="_1468075725" r:id="rId6">
            <o:LockedField>false</o:LockedField>
          </o:OLEObject>
        </w:object>
      </w:r>
    </w:p>
    <w:p>
      <w:pPr>
        <w:numPr>
          <w:ilvl w:val="0"/>
          <w:numId w:val="0"/>
        </w:numP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3" w:name="_Toc6615"/>
      <w:r>
        <w:rPr>
          <w:rFonts w:hint="eastAsia" w:ascii="黑体" w:hAnsi="黑体" w:eastAsia="黑体" w:cs="黑体"/>
          <w:b/>
          <w:sz w:val="30"/>
          <w:szCs w:val="30"/>
          <w:lang w:val="en-US" w:eastAsia="zh-CN"/>
        </w:rPr>
        <w:t>（二）创建系统用户</w:t>
      </w:r>
      <w:bookmarkEnd w:id="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系统管理-系统用户管理</w:t>
      </w:r>
      <w:r>
        <w:rPr>
          <w:rFonts w:hint="eastAsia" w:ascii="黑体" w:hAnsi="黑体" w:eastAsia="黑体" w:cs="黑体"/>
          <w:sz w:val="24"/>
          <w:szCs w:val="24"/>
          <w:lang w:val="en-US" w:eastAsia="zh-CN"/>
        </w:rPr>
        <w:t>模块创建系统用户，用于日常登录系统实现相应管理需求。</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9"/>
                    <pic:cNvPicPr>
                      <a:picLocks noChangeAspect="1"/>
                    </pic:cNvPicPr>
                  </pic:nvPicPr>
                  <pic:blipFill>
                    <a:blip r:embed="rId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创建完系统用户后为用户设置系统角色，用户将拥有他所在角色的所有权限。</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0"/>
                    <pic:cNvPicPr>
                      <a:picLocks noChangeAspect="1"/>
                    </pic:cNvPicPr>
                  </pic:nvPicPr>
                  <pic:blipFill>
                    <a:blip r:embed="rId9"/>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4" w:name="_Toc8969"/>
      <w:r>
        <w:rPr>
          <w:rFonts w:hint="eastAsia" w:ascii="黑体" w:hAnsi="黑体" w:eastAsia="黑体" w:cs="黑体"/>
          <w:b/>
          <w:sz w:val="32"/>
          <w:szCs w:val="32"/>
          <w:lang w:val="en-US" w:eastAsia="zh-CN"/>
        </w:rPr>
        <w:t>VIP配置流程--月保车的配置及管理</w:t>
      </w:r>
      <w:bookmarkEnd w:id="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停车场可在</w:t>
      </w:r>
      <w:r>
        <w:rPr>
          <w:rFonts w:hint="eastAsia" w:ascii="黑体" w:hAnsi="黑体" w:eastAsia="黑体" w:cs="黑体"/>
          <w:color w:val="FF0000"/>
          <w:sz w:val="24"/>
          <w:szCs w:val="24"/>
          <w:lang w:val="en-US" w:eastAsia="zh-CN"/>
        </w:rPr>
        <w:t>车主管理</w:t>
      </w:r>
      <w:r>
        <w:rPr>
          <w:rFonts w:hint="eastAsia" w:ascii="黑体" w:hAnsi="黑体" w:eastAsia="黑体" w:cs="黑体"/>
          <w:sz w:val="24"/>
          <w:szCs w:val="24"/>
          <w:lang w:val="en-US" w:eastAsia="zh-CN"/>
        </w:rPr>
        <w:t>模块为月租车辆开通VIP票，录入VIP信息，实现对VIP票和VIP车辆的管理。</w:t>
      </w:r>
    </w:p>
    <w:p>
      <w:pPr>
        <w:pStyle w:val="3"/>
        <w:ind w:left="0" w:leftChars="0" w:firstLine="0" w:firstLineChars="0"/>
        <w:rPr>
          <w:rFonts w:hint="eastAsia" w:ascii="黑体" w:hAnsi="黑体" w:eastAsia="黑体" w:cs="黑体"/>
          <w:b/>
          <w:sz w:val="30"/>
          <w:szCs w:val="30"/>
          <w:lang w:val="en-US" w:eastAsia="zh-CN"/>
        </w:rPr>
      </w:pPr>
      <w:bookmarkStart w:id="5" w:name="_Toc15169"/>
      <w:r>
        <w:rPr>
          <w:rFonts w:hint="eastAsia" w:ascii="黑体" w:hAnsi="黑体" w:eastAsia="黑体" w:cs="黑体"/>
          <w:b/>
          <w:sz w:val="30"/>
          <w:szCs w:val="30"/>
          <w:lang w:val="en-US" w:eastAsia="zh-CN"/>
        </w:rPr>
        <w:t>（一）新增VIP类型</w:t>
      </w:r>
      <w:bookmarkEnd w:id="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在车主管理-VIP类型中新增VIP类型，填入VIP类型名称、通行权限和其他配置项并保存即可新增VIP类型。</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10"/>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r>
        <w:rPr>
          <w:rFonts w:hint="eastAsia" w:ascii="黑体" w:hAnsi="黑体" w:eastAsia="黑体" w:cs="黑体"/>
          <w:lang w:val="en-US" w:eastAsia="zh-CN"/>
        </w:rPr>
        <w:drawing>
          <wp:inline distT="0" distB="0" distL="114300" distR="114300">
            <wp:extent cx="6184900" cy="3396615"/>
            <wp:effectExtent l="0" t="0" r="0" b="6985"/>
            <wp:docPr id="48" name="图片 48" descr="新增VIP类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增VIP类型1"/>
                    <pic:cNvPicPr>
                      <a:picLocks noChangeAspect="1"/>
                    </pic:cNvPicPr>
                  </pic:nvPicPr>
                  <pic:blipFill>
                    <a:blip r:embed="rId11"/>
                    <a:stretch>
                      <a:fillRect/>
                    </a:stretch>
                  </pic:blipFill>
                  <pic:spPr>
                    <a:xfrm>
                      <a:off x="0" y="0"/>
                      <a:ext cx="6184900" cy="339661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通行权限</w:t>
      </w:r>
      <w:r>
        <w:rPr>
          <w:rFonts w:hint="eastAsia" w:ascii="黑体" w:hAnsi="黑体" w:eastAsia="黑体" w:cs="黑体"/>
          <w:sz w:val="24"/>
          <w:szCs w:val="24"/>
          <w:lang w:val="en-US" w:eastAsia="zh-CN"/>
        </w:rPr>
        <w:t>：通行权限指的是车辆在停车场中通行时的通行资格，进出有通行权限的出入口时，系统将车辆视为VIP车辆；车辆在进出无通行权限的出入口时，系统将车辆视为临时车。</w:t>
      </w:r>
    </w:p>
    <w:p>
      <w:pPr>
        <w:ind w:left="0" w:leftChars="0" w:firstLine="0" w:firstLineChars="0"/>
        <w:jc w:val="both"/>
        <w:rPr>
          <w:rFonts w:hint="eastAsia" w:ascii="黑体" w:hAnsi="黑体" w:eastAsia="黑体" w:cs="黑体"/>
        </w:rPr>
      </w:pPr>
    </w:p>
    <w:p>
      <w:pPr>
        <w:pStyle w:val="4"/>
        <w:numPr>
          <w:ilvl w:val="0"/>
          <w:numId w:val="0"/>
        </w:numPr>
        <w:ind w:firstLine="562" w:firstLineChars="200"/>
        <w:rPr>
          <w:rFonts w:hint="eastAsia" w:ascii="黑体" w:hAnsi="黑体" w:eastAsia="黑体" w:cs="黑体"/>
          <w:sz w:val="28"/>
          <w:szCs w:val="28"/>
          <w:lang w:val="en-US" w:eastAsia="zh-CN"/>
        </w:rPr>
      </w:pPr>
      <w:bookmarkStart w:id="6" w:name="_Toc25953"/>
      <w:r>
        <w:rPr>
          <w:rFonts w:hint="eastAsia" w:ascii="黑体" w:hAnsi="黑体" w:eastAsia="黑体" w:cs="黑体"/>
          <w:sz w:val="28"/>
          <w:szCs w:val="28"/>
          <w:lang w:val="en-US" w:eastAsia="zh-CN"/>
        </w:rPr>
        <w:t>1、月卡车、储值车的设置</w:t>
      </w:r>
      <w:bookmarkEnd w:id="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结算类型：</w:t>
      </w:r>
      <w:r>
        <w:rPr>
          <w:rFonts w:hint="eastAsia" w:ascii="黑体" w:hAnsi="黑体" w:eastAsia="黑体" w:cs="黑体"/>
          <w:b w:val="0"/>
          <w:bCs w:val="0"/>
          <w:sz w:val="24"/>
          <w:szCs w:val="24"/>
          <w:lang w:val="en-US" w:eastAsia="zh-CN"/>
        </w:rPr>
        <w:t>分为</w:t>
      </w:r>
      <w:r>
        <w:rPr>
          <w:rFonts w:hint="eastAsia" w:ascii="黑体" w:hAnsi="黑体" w:eastAsia="黑体" w:cs="黑体"/>
          <w:b/>
          <w:bCs/>
          <w:sz w:val="24"/>
          <w:szCs w:val="24"/>
          <w:lang w:val="en-US" w:eastAsia="zh-CN"/>
        </w:rPr>
        <w:t>时间结算、储值结算、次数结算</w:t>
      </w:r>
      <w:r>
        <w:rPr>
          <w:rFonts w:hint="eastAsia" w:ascii="黑体" w:hAnsi="黑体" w:eastAsia="黑体" w:cs="黑体"/>
          <w:b w:val="0"/>
          <w:bCs w:val="0"/>
          <w:sz w:val="24"/>
          <w:szCs w:val="24"/>
          <w:lang w:val="en-US" w:eastAsia="zh-CN"/>
        </w:rPr>
        <w:t>，时间结算按开通每月需付金额配置；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749800" cy="374650"/>
            <wp:effectExtent l="0" t="0" r="0"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2"/>
                    <a:stretch>
                      <a:fillRect/>
                    </a:stretch>
                  </pic:blipFill>
                  <pic:spPr>
                    <a:xfrm>
                      <a:off x="0" y="0"/>
                      <a:ext cx="4749800" cy="3746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储值结算按充值比例配置；如充值比例填入1.5表示充值100元储值余额为150元。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762500" cy="539750"/>
            <wp:effectExtent l="0" t="0" r="0"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3"/>
                    <a:stretch>
                      <a:fillRect/>
                    </a:stretch>
                  </pic:blipFill>
                  <pic:spPr>
                    <a:xfrm>
                      <a:off x="0" y="0"/>
                      <a:ext cx="4762500" cy="5397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次数结算则按每次停车需付固定金额配置；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902200" cy="4064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4"/>
                    <a:stretch>
                      <a:fillRect/>
                    </a:stretch>
                  </pic:blipFill>
                  <pic:spPr>
                    <a:xfrm>
                      <a:off x="0" y="0"/>
                      <a:ext cx="4902200" cy="406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7" w:name="_Toc9244"/>
      <w:r>
        <w:rPr>
          <w:rFonts w:hint="eastAsia" w:ascii="黑体" w:hAnsi="黑体" w:eastAsia="黑体" w:cs="黑体"/>
          <w:sz w:val="28"/>
          <w:szCs w:val="28"/>
          <w:lang w:val="en-US" w:eastAsia="zh-CN"/>
        </w:rPr>
        <w:t>2、多位多车</w:t>
      </w:r>
      <w:bookmarkEnd w:id="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多位多车即一个车主可以买X个车位，但他有Y个车，Y≥X。当车主的车已进入X辆时，超出后其他车辆不能进或者进去按临时车计费。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要实现多位多车功能，须先在停车场管理-车场管理模块中开启多位多车的总开关。</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1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可用车位数</w:t>
      </w:r>
      <w:r>
        <w:rPr>
          <w:rFonts w:hint="eastAsia" w:ascii="黑体" w:hAnsi="黑体" w:eastAsia="黑体" w:cs="黑体"/>
          <w:b w:val="0"/>
          <w:bCs w:val="0"/>
          <w:sz w:val="24"/>
          <w:szCs w:val="24"/>
          <w:lang w:val="en-US" w:eastAsia="zh-CN"/>
        </w:rPr>
        <w:t>：填入该VIP类型开通VIP的可用车位数，一般为1，即一张VIP票可用一个车位。在开通VIP票界面会根据该VIP类型的可用车位数计算出可用车位总数=VIP类型可用车位数×开通数量。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6184265" cy="635000"/>
            <wp:effectExtent l="0" t="0" r="635"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16"/>
                    <a:stretch>
                      <a:fillRect/>
                    </a:stretch>
                  </pic:blipFill>
                  <pic:spPr>
                    <a:xfrm>
                      <a:off x="0" y="0"/>
                      <a:ext cx="6184265" cy="635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lang w:val="en-US" w:eastAsia="zh-CN"/>
        </w:rPr>
      </w:pPr>
      <w:r>
        <w:rPr>
          <w:rFonts w:hint="eastAsia" w:ascii="黑体" w:hAnsi="黑体" w:eastAsia="黑体" w:cs="黑体"/>
          <w:b/>
          <w:bCs/>
          <w:sz w:val="24"/>
          <w:szCs w:val="24"/>
          <w:lang w:val="en-US" w:eastAsia="zh-CN"/>
        </w:rPr>
        <w:t>开启多位多车</w:t>
      </w:r>
      <w:r>
        <w:rPr>
          <w:rFonts w:hint="eastAsia" w:ascii="黑体" w:hAnsi="黑体" w:eastAsia="黑体" w:cs="黑体"/>
          <w:b w:val="0"/>
          <w:bCs w:val="0"/>
          <w:sz w:val="24"/>
          <w:szCs w:val="24"/>
          <w:lang w:val="en-US" w:eastAsia="zh-CN"/>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940300" cy="863600"/>
            <wp:effectExtent l="0" t="0" r="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7"/>
                    <a:stretch>
                      <a:fillRect/>
                    </a:stretch>
                  </pic:blipFill>
                  <pic:spPr>
                    <a:xfrm>
                      <a:off x="0" y="0"/>
                      <a:ext cx="4940300" cy="8636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内场多位多车满位到剩余，同一VIP票车辆外场已在场车辆禁止进入内场</w:t>
      </w:r>
      <w:r>
        <w:rPr>
          <w:rFonts w:hint="eastAsia" w:ascii="黑体" w:hAnsi="黑体" w:eastAsia="黑体" w:cs="黑体"/>
          <w:b w:val="0"/>
          <w:bCs w:val="0"/>
          <w:sz w:val="24"/>
          <w:szCs w:val="24"/>
          <w:lang w:val="en-US" w:eastAsia="zh-CN"/>
        </w:rPr>
        <w:t> ：适用于多区域场景：外场A区域，内场B区域，一组车辆在B区域是多位多车，B区域车位从满到余时，同组车A区域在场车辆不能进入B区域，防止车主将长时间停放于A区域的车辆开入B区域而逃避停车费。</w:t>
      </w:r>
      <w:r>
        <w:rPr>
          <w:rFonts w:hint="eastAsia" w:ascii="黑体" w:hAnsi="黑体" w:eastAsia="黑体" w:cs="黑体"/>
          <w:b w:val="0"/>
          <w:bCs w:val="0"/>
          <w:sz w:val="24"/>
          <w:szCs w:val="24"/>
          <w:lang w:val="zh-CN" w:eastAsia="zh-CN"/>
        </w:rPr>
        <w:t>（</w:t>
      </w:r>
      <w:r>
        <w:rPr>
          <w:rFonts w:hint="eastAsia" w:ascii="黑体" w:hAnsi="黑体" w:eastAsia="黑体" w:cs="黑体"/>
          <w:b w:val="0"/>
          <w:bCs w:val="0"/>
          <w:sz w:val="24"/>
          <w:szCs w:val="24"/>
          <w:lang w:val="en-US" w:eastAsia="zh-CN"/>
        </w:rPr>
        <w:t>根据实际情况选择是否勾选</w:t>
      </w:r>
      <w:r>
        <w:rPr>
          <w:rFonts w:hint="eastAsia" w:ascii="黑体" w:hAnsi="黑体" w:eastAsia="黑体" w:cs="黑体"/>
          <w:b w:val="0"/>
          <w:bCs w:val="0"/>
          <w:sz w:val="24"/>
          <w:szCs w:val="24"/>
          <w:lang w:val="zh-CN" w:eastAsia="zh-CN"/>
        </w:rPr>
        <w:t>）</w:t>
      </w:r>
    </w:p>
    <w:p>
      <w:pPr>
        <w:widowControl w:val="0"/>
        <w:numPr>
          <w:ilvl w:val="0"/>
          <w:numId w:val="0"/>
        </w:numPr>
        <w:spacing w:line="360" w:lineRule="auto"/>
        <w:ind w:firstLine="480"/>
        <w:jc w:val="both"/>
        <w:rPr>
          <w:rFonts w:hint="eastAsia" w:ascii="黑体" w:hAnsi="黑体" w:eastAsia="黑体" w:cs="黑体"/>
          <w:b w:val="0"/>
          <w:bCs w:val="0"/>
          <w:sz w:val="24"/>
          <w:szCs w:val="24"/>
          <w:lang w:val="zh-CN" w:eastAsia="zh-CN"/>
        </w:rPr>
      </w:pPr>
      <w:r>
        <w:rPr>
          <w:rFonts w:hint="eastAsia" w:ascii="黑体" w:hAnsi="黑体" w:eastAsia="黑体" w:cs="黑体"/>
          <w:b/>
          <w:bCs/>
          <w:sz w:val="24"/>
          <w:szCs w:val="24"/>
          <w:lang w:val="en-US" w:eastAsia="zh-CN"/>
        </w:rPr>
        <w:t>车辆出场向管理系统获取一次停车自定义显示及语音播报</w:t>
      </w:r>
      <w:r>
        <w:rPr>
          <w:rFonts w:hint="eastAsia" w:ascii="黑体" w:hAnsi="黑体" w:eastAsia="黑体" w:cs="黑体"/>
          <w:b w:val="0"/>
          <w:bCs/>
          <w:kern w:val="2"/>
          <w:sz w:val="24"/>
          <w:szCs w:val="24"/>
          <w:lang w:val="en-US" w:eastAsia="zh-CN" w:bidi="ar-SA"/>
        </w:rPr>
        <w:t>：</w:t>
      </w:r>
      <w:r>
        <w:rPr>
          <w:rFonts w:hint="eastAsia" w:ascii="黑体" w:hAnsi="黑体" w:eastAsia="黑体" w:cs="黑体"/>
          <w:b w:val="0"/>
          <w:bCs w:val="0"/>
          <w:sz w:val="24"/>
          <w:szCs w:val="24"/>
          <w:lang w:val="zh-CN" w:eastAsia="zh-CN"/>
        </w:rPr>
        <w:t>如果勾选则该VIP类型的指定车辆离场时，会按照</w:t>
      </w:r>
      <w:r>
        <w:rPr>
          <w:rFonts w:hint="eastAsia" w:ascii="黑体" w:hAnsi="黑体" w:eastAsia="黑体" w:cs="黑体"/>
          <w:b w:val="0"/>
          <w:bCs w:val="0"/>
          <w:sz w:val="24"/>
          <w:szCs w:val="24"/>
          <w:lang w:val="en-US" w:eastAsia="zh-CN"/>
        </w:rPr>
        <w:t>系统</w:t>
      </w:r>
      <w:r>
        <w:rPr>
          <w:rFonts w:hint="eastAsia" w:ascii="黑体" w:hAnsi="黑体" w:eastAsia="黑体" w:cs="黑体"/>
          <w:b w:val="0"/>
          <w:bCs w:val="0"/>
          <w:sz w:val="24"/>
          <w:szCs w:val="24"/>
          <w:lang w:val="zh-CN" w:eastAsia="zh-CN"/>
        </w:rPr>
        <w:t>设定的指定车牌出场提示去显示及语音播报，不勾选的话则按正常VIP车辆进出显示及语音播报。（</w:t>
      </w:r>
      <w:r>
        <w:rPr>
          <w:rFonts w:hint="eastAsia" w:ascii="黑体" w:hAnsi="黑体" w:eastAsia="黑体" w:cs="黑体"/>
          <w:b w:val="0"/>
          <w:bCs w:val="0"/>
          <w:sz w:val="24"/>
          <w:szCs w:val="24"/>
          <w:lang w:val="en-US" w:eastAsia="zh-CN"/>
        </w:rPr>
        <w:t>默认不勾选</w:t>
      </w:r>
      <w:r>
        <w:rPr>
          <w:rFonts w:hint="eastAsia" w:ascii="黑体" w:hAnsi="黑体" w:eastAsia="黑体" w:cs="黑体"/>
          <w:b w:val="0"/>
          <w:bCs w:val="0"/>
          <w:sz w:val="24"/>
          <w:szCs w:val="24"/>
          <w:lang w:val="zh-CN" w:eastAsia="zh-CN"/>
        </w:rPr>
        <w:t>）</w:t>
      </w:r>
    </w:p>
    <w:p>
      <w:pPr>
        <w:widowControl w:val="0"/>
        <w:numPr>
          <w:ilvl w:val="0"/>
          <w:numId w:val="0"/>
        </w:numPr>
        <w:spacing w:line="360" w:lineRule="auto"/>
        <w:ind w:firstLine="480"/>
        <w:jc w:val="both"/>
        <w:rPr>
          <w:rFonts w:hint="eastAsia" w:ascii="黑体" w:hAnsi="黑体" w:eastAsia="黑体" w:cs="黑体"/>
          <w:b w:val="0"/>
          <w:bCs w:val="0"/>
          <w:sz w:val="24"/>
          <w:szCs w:val="24"/>
          <w:lang w:val="zh-CN"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8" w:name="_Toc12358"/>
      <w:r>
        <w:rPr>
          <w:rFonts w:hint="eastAsia" w:ascii="黑体" w:hAnsi="黑体" w:eastAsia="黑体" w:cs="黑体"/>
          <w:sz w:val="28"/>
          <w:szCs w:val="28"/>
          <w:lang w:val="en-US" w:eastAsia="zh-CN"/>
        </w:rPr>
        <w:t>3、满位控制</w:t>
      </w:r>
      <w:bookmarkEnd w:id="8"/>
    </w:p>
    <w:p>
      <w:pPr>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满位控制</w:t>
      </w:r>
      <w:r>
        <w:rPr>
          <w:rFonts w:hint="eastAsia" w:ascii="黑体" w:hAnsi="黑体" w:eastAsia="黑体" w:cs="黑体"/>
          <w:b w:val="0"/>
          <w:bCs w:val="0"/>
          <w:sz w:val="24"/>
          <w:szCs w:val="24"/>
          <w:lang w:val="en-US" w:eastAsia="zh-CN"/>
        </w:rPr>
        <w:t>：即限制进入的总车位数，超出的需收费员确认才能进，或者等其他车出场，有空车位才能进。</w:t>
      </w:r>
    </w:p>
    <w:p>
      <w:p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满位控制可针对整个停车场进行设置，可单独设置某类车位的满位阈值。</w:t>
      </w:r>
    </w:p>
    <w:p>
      <w:pPr>
        <w:rPr>
          <w:rFonts w:hint="eastAsia" w:ascii="黑体" w:hAnsi="黑体" w:eastAsia="黑体" w:cs="黑体"/>
          <w:b w:val="0"/>
          <w:bCs w:val="0"/>
          <w:color w:val="FF0000"/>
          <w:sz w:val="24"/>
          <w:szCs w:val="24"/>
          <w:lang w:val="en-US" w:eastAsia="zh-CN"/>
        </w:rPr>
      </w:pPr>
      <w:r>
        <w:rPr>
          <w:rFonts w:hint="eastAsia" w:ascii="黑体" w:hAnsi="黑体" w:eastAsia="黑体" w:cs="黑体"/>
          <w:b w:val="0"/>
          <w:bCs w:val="0"/>
          <w:color w:val="FF0000"/>
          <w:sz w:val="24"/>
          <w:szCs w:val="24"/>
          <w:lang w:val="en-US" w:eastAsia="zh-CN"/>
        </w:rPr>
        <w:t>满位阈值：即需要预留的车位数量。如满位阈值设为100，当车场的剩余车位≤100时将限制车辆入场。</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18"/>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p>
      <w:p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也可针对某类VIP类型设置在场车辆达到限制数目后，对该类型VIP车辆限制入场，限制入场的车辆可由收费员手动放行。</w:t>
      </w:r>
    </w:p>
    <w:p>
      <w:pPr>
        <w:widowControl w:val="0"/>
        <w:numPr>
          <w:ilvl w:val="0"/>
          <w:numId w:val="0"/>
        </w:numPr>
        <w:spacing w:line="360" w:lineRule="auto"/>
        <w:jc w:val="center"/>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5162550" cy="1504950"/>
            <wp:effectExtent l="0" t="0" r="6350" b="635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19"/>
                    <a:stretch>
                      <a:fillRect/>
                    </a:stretch>
                  </pic:blipFill>
                  <pic:spPr>
                    <a:xfrm>
                      <a:off x="0" y="0"/>
                      <a:ext cx="5162550" cy="15049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VIP满位放行模式</w:t>
      </w:r>
      <w:r>
        <w:rPr>
          <w:rFonts w:hint="eastAsia" w:ascii="黑体" w:hAnsi="黑体" w:eastAsia="黑体" w:cs="黑体"/>
          <w:b w:val="0"/>
          <w:bCs w:val="0"/>
          <w:sz w:val="24"/>
          <w:szCs w:val="24"/>
          <w:lang w:val="en-US" w:eastAsia="zh-CN"/>
        </w:rPr>
        <w:t>：当停车场开启了VIP满位控制，可选择VIP满位时对车辆的放行模式。</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jc w:val="center"/>
        <w:rPr>
          <w:rFonts w:hint="eastAsia" w:ascii="黑体" w:hAnsi="黑体" w:eastAsia="黑体" w:cs="黑体"/>
          <w:b w:val="0"/>
          <w:bCs w:val="0"/>
          <w:sz w:val="24"/>
          <w:szCs w:val="24"/>
          <w:lang w:val="zh-CN"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9" w:name="_Toc29605"/>
      <w:r>
        <w:rPr>
          <w:rFonts w:hint="eastAsia" w:ascii="黑体" w:hAnsi="黑体" w:eastAsia="黑体" w:cs="黑体"/>
          <w:sz w:val="28"/>
          <w:szCs w:val="28"/>
          <w:lang w:val="en-US" w:eastAsia="zh-CN"/>
        </w:rPr>
        <w:t>4、设置独立计费组</w:t>
      </w:r>
      <w:bookmarkEnd w:id="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设置计费组</w:t>
      </w:r>
      <w:r>
        <w:rPr>
          <w:rFonts w:hint="eastAsia" w:ascii="黑体" w:hAnsi="黑体" w:eastAsia="黑体" w:cs="黑体"/>
          <w:b w:val="0"/>
          <w:bCs w:val="0"/>
          <w:sz w:val="24"/>
          <w:szCs w:val="24"/>
          <w:lang w:val="en-US" w:eastAsia="zh-CN"/>
        </w:rPr>
        <w:t>：可为该VIP类型加设一个计费组，此时VIP车辆也将按此计费组的计费规则进行计费。若无设置计费组，则默认VIP不计费。计费规则组可在停车场管理配置。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5175250" cy="679450"/>
            <wp:effectExtent l="0" t="0" r="6350" b="635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0"/>
                    <a:stretch>
                      <a:fillRect/>
                    </a:stretch>
                  </pic:blipFill>
                  <pic:spPr>
                    <a:xfrm>
                      <a:off x="0" y="0"/>
                      <a:ext cx="5175250" cy="67945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到期提醒时长</w:t>
      </w:r>
      <w:r>
        <w:rPr>
          <w:rFonts w:hint="eastAsia" w:ascii="黑体" w:hAnsi="黑体" w:eastAsia="黑体" w:cs="黑体"/>
          <w:b w:val="0"/>
          <w:bCs w:val="0"/>
          <w:sz w:val="24"/>
          <w:szCs w:val="24"/>
          <w:lang w:val="en-US" w:eastAsia="zh-CN"/>
        </w:rPr>
        <w:t>：可为该VIP类型设置到期提醒，如设置10天，即在VIP到期前10天将会有显示及语音播报提示车主VIP将到期。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5378450" cy="704850"/>
            <wp:effectExtent l="0" t="0" r="6350" b="635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21"/>
                    <a:stretch>
                      <a:fillRect/>
                    </a:stretch>
                  </pic:blipFill>
                  <pic:spPr>
                    <a:xfrm>
                      <a:off x="0" y="0"/>
                      <a:ext cx="5378450" cy="7048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VIP重合覆盖时长</w:t>
      </w:r>
      <w:r>
        <w:rPr>
          <w:rFonts w:hint="eastAsia" w:ascii="黑体" w:hAnsi="黑体" w:eastAsia="黑体" w:cs="黑体"/>
          <w:b w:val="0"/>
          <w:bCs w:val="0"/>
          <w:sz w:val="24"/>
          <w:szCs w:val="24"/>
          <w:lang w:val="en-US" w:eastAsia="zh-CN"/>
        </w:rPr>
        <w:t>：当车主停车时长超过设定的VIP重合覆盖时长时，车主需要缴费后才能进行开通VIP操作，未超过时则车主可直接开通VIP。常见场景为车主VIP过期后未能及时续期，过期停车时长超过停车场允许的重合覆盖时长，那么车主需对过期停车时长缴费后再进行开通VIP操作。（根据实际情况填入即可）</w:t>
      </w:r>
    </w:p>
    <w:p>
      <w:pPr>
        <w:ind w:left="0" w:leftChars="0" w:firstLine="0" w:firstLineChars="0"/>
        <w:jc w:val="center"/>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10" w:name="_Toc28449"/>
      <w:bookmarkStart w:id="11" w:name="OLE_LINK8"/>
      <w:r>
        <w:rPr>
          <w:rFonts w:hint="eastAsia" w:ascii="黑体" w:hAnsi="黑体" w:eastAsia="黑体" w:cs="黑体"/>
          <w:b/>
          <w:sz w:val="30"/>
          <w:szCs w:val="30"/>
          <w:lang w:val="en-US" w:eastAsia="zh-CN"/>
        </w:rPr>
        <w:t>（二）开通VIP</w:t>
      </w:r>
      <w:bookmarkEnd w:id="10"/>
    </w:p>
    <w:bookmarkEnd w:id="11"/>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12" w:name="OLE_LINK9"/>
      <w:r>
        <w:rPr>
          <w:rFonts w:hint="eastAsia" w:ascii="黑体" w:hAnsi="黑体" w:eastAsia="黑体" w:cs="黑体"/>
          <w:sz w:val="24"/>
          <w:szCs w:val="24"/>
          <w:lang w:val="en-US" w:eastAsia="zh-CN"/>
        </w:rPr>
        <w:t>创建VIP类型后在车主管理-VIP开通续费模块开通VIP（也可理解为月票，下称VIP），选择VIP类型，填入开通数量、车主姓名、车牌号码、开通事件、VIP有效期和折后价并保存即可新增VIP类型。</w:t>
      </w:r>
    </w:p>
    <w:bookmarkEnd w:id="12"/>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折后价：即开通该VIP的实收金额。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是否开具发票：如果为车主开通VIP的时候已经开具发票，可勾选“已开具纸质票”对此条记录标记发票状态。</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1258570"/>
            <wp:effectExtent l="0" t="0" r="3175" b="1143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22"/>
                    <a:stretch>
                      <a:fillRect/>
                    </a:stretch>
                  </pic:blipFill>
                  <pic:spPr>
                    <a:xfrm>
                      <a:off x="0" y="0"/>
                      <a:ext cx="6181725" cy="125857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23"/>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6805" cy="3125470"/>
            <wp:effectExtent l="0" t="0" r="10795" b="1143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24"/>
                    <a:stretch>
                      <a:fillRect/>
                    </a:stretch>
                  </pic:blipFill>
                  <pic:spPr>
                    <a:xfrm>
                      <a:off x="0" y="0"/>
                      <a:ext cx="6186805" cy="312547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25"/>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13" w:name="_Toc29782"/>
      <w:bookmarkStart w:id="14" w:name="OLE_LINK10"/>
      <w:r>
        <w:rPr>
          <w:rFonts w:hint="eastAsia" w:ascii="黑体" w:hAnsi="黑体" w:eastAsia="黑体" w:cs="黑体"/>
          <w:b/>
          <w:sz w:val="30"/>
          <w:szCs w:val="30"/>
          <w:lang w:val="en-US" w:eastAsia="zh-CN"/>
        </w:rPr>
        <w:t>（三）VIP-退款</w:t>
      </w:r>
      <w:bookmarkEnd w:id="1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车主需退VIP票的情况下，可在车主管理-VIP操作流水模块对已开通VIP执行退款操作，选中某个VIP，点击退款，填入实际退款金额，保存后确认操作。</w:t>
      </w:r>
    </w:p>
    <w:bookmarkEnd w:id="14"/>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参考值：开通VIP时的价格减去剩余VIP的价格即为参考退款金额。如开通VIP1个月价格为100元，在剩余天数剩下1天的时候车主退款，那么参考值为100÷30（天）=3元。</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26"/>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15" w:name="_Toc25704"/>
      <w:bookmarkStart w:id="16" w:name="OLE_LINK11"/>
      <w:r>
        <w:rPr>
          <w:rFonts w:hint="eastAsia" w:ascii="黑体" w:hAnsi="黑体" w:eastAsia="黑体" w:cs="黑体"/>
          <w:b/>
          <w:sz w:val="30"/>
          <w:szCs w:val="30"/>
          <w:lang w:val="en-US" w:eastAsia="zh-CN"/>
        </w:rPr>
        <w:t>（四）VIP-续期/重开</w:t>
      </w:r>
      <w:bookmarkEnd w:id="1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VIP票即将过期的情况下，可在车主管理-VIP开通续费模块对已开通VIP执行续期（VIP状态为生效中、待生效、已过期状态）/重开（VIP状态为已退款）操作，填入续期/重开时间、VIP有效期等确认操作后即可为VIP续期。</w:t>
      </w:r>
    </w:p>
    <w:bookmarkEnd w:id="16"/>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7"/>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17" w:name="_Toc8460"/>
      <w:r>
        <w:rPr>
          <w:rFonts w:hint="eastAsia" w:ascii="黑体" w:hAnsi="黑体" w:eastAsia="黑体" w:cs="黑体"/>
          <w:b/>
          <w:sz w:val="30"/>
          <w:szCs w:val="30"/>
          <w:lang w:val="en-US" w:eastAsia="zh-CN"/>
        </w:rPr>
        <w:t>（五）VIP-暂停/恢复</w:t>
      </w:r>
      <w:bookmarkEnd w:id="1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如遇节假日等可在车主管理-VIP开通续费模块对VIP进行暂停操作，填入暂停开始结束时间并确认后执行暂停操作。暂停期间车辆将以临时车身份入场。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2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color w:val="FF0000"/>
          <w:sz w:val="24"/>
          <w:szCs w:val="24"/>
          <w:lang w:val="en-US" w:eastAsia="zh-CN"/>
        </w:rPr>
        <w:t>若暂停开始时间小于当前时间时，将会立即暂停，暂停开始时间取执行暂停时间，若该VIP票已有车辆在场期间进行暂停操作，车辆出场时将以临时车身份出场，并需要缴纳停车费。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2360" cy="434340"/>
            <wp:effectExtent l="0" t="0" r="2540" b="1016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29"/>
                    <a:stretch>
                      <a:fillRect/>
                    </a:stretch>
                  </pic:blipFill>
                  <pic:spPr>
                    <a:xfrm>
                      <a:off x="0" y="0"/>
                      <a:ext cx="6182360" cy="43434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暂停后可点击“恢复”按钮，对该VIP进行恢复操作，恢复操作后VIP有效期开始时间为执行恢复操作的时间，结束时间为原结束时间+暂停时间。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30"/>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18" w:name="_Toc24773"/>
      <w:r>
        <w:rPr>
          <w:rFonts w:hint="eastAsia" w:ascii="黑体" w:hAnsi="黑体" w:eastAsia="黑体" w:cs="黑体"/>
          <w:b/>
          <w:sz w:val="30"/>
          <w:szCs w:val="30"/>
          <w:lang w:val="en-US" w:eastAsia="zh-CN"/>
        </w:rPr>
        <w:t>（六）同步VIP</w:t>
      </w:r>
      <w:bookmarkEnd w:id="1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开通VIP后，需要将该VIP票同步至一体机，车辆进场时一体机才能快速判断车辆身份执行相关后续操作。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可点击每条VIP票后面的同步详情，如果同步结果失败则需要重新同步。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3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也可以点击“同步VIP”按钮对全部VIP票执行同步操作，选择需同步的一体机确认操作后执行同步操作。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Tips:同步期间将可能造成一体机运行缓慢，请勿在高峰期操作。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32"/>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19" w:name="_Toc11292"/>
      <w:r>
        <w:rPr>
          <w:rFonts w:hint="eastAsia" w:ascii="黑体" w:hAnsi="黑体" w:eastAsia="黑体" w:cs="黑体"/>
          <w:b/>
          <w:sz w:val="32"/>
          <w:szCs w:val="32"/>
          <w:lang w:val="en-US" w:eastAsia="zh-CN"/>
        </w:rPr>
        <w:t>对账流程--查看流水和报表</w:t>
      </w:r>
      <w:bookmarkEnd w:id="1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对账主要分为临停车费的对账和VIP开通收费的对账。</w:t>
      </w:r>
    </w:p>
    <w:p>
      <w:pPr>
        <w:pStyle w:val="3"/>
        <w:ind w:left="0" w:leftChars="0" w:firstLine="0" w:firstLineChars="0"/>
        <w:rPr>
          <w:rFonts w:hint="eastAsia" w:ascii="黑体" w:hAnsi="黑体" w:eastAsia="黑体" w:cs="黑体"/>
          <w:b/>
          <w:sz w:val="30"/>
          <w:szCs w:val="30"/>
          <w:lang w:val="en-US" w:eastAsia="zh-CN"/>
        </w:rPr>
      </w:pPr>
      <w:bookmarkStart w:id="20" w:name="_Toc10301"/>
      <w:r>
        <w:rPr>
          <w:rFonts w:hint="eastAsia" w:ascii="黑体" w:hAnsi="黑体" w:eastAsia="黑体" w:cs="黑体"/>
          <w:b/>
          <w:sz w:val="30"/>
          <w:szCs w:val="30"/>
          <w:lang w:val="en-US" w:eastAsia="zh-CN"/>
        </w:rPr>
        <w:t>（一）临时车的对账</w:t>
      </w:r>
      <w:bookmarkEnd w:id="2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1、车辆详细的进出场收费数据可在</w:t>
      </w:r>
      <w:r>
        <w:rPr>
          <w:rFonts w:hint="eastAsia" w:ascii="黑体" w:hAnsi="黑体" w:eastAsia="黑体" w:cs="黑体"/>
          <w:color w:val="FF0000"/>
          <w:sz w:val="24"/>
          <w:szCs w:val="24"/>
          <w:lang w:val="en-US" w:eastAsia="zh-CN"/>
        </w:rPr>
        <w:t>进出场管理-收费流水</w:t>
      </w:r>
      <w:r>
        <w:rPr>
          <w:rFonts w:hint="eastAsia" w:ascii="黑体" w:hAnsi="黑体" w:eastAsia="黑体" w:cs="黑体"/>
          <w:sz w:val="24"/>
          <w:szCs w:val="24"/>
          <w:lang w:val="en-US" w:eastAsia="zh-CN"/>
        </w:rPr>
        <w:t>中查看。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收费流水模块记录所有产生收费流水的车辆相关信息。收费流水信息的产生来源为移动端、线上、线下等渠道。可供管理员随时查询车辆的收费相关信息。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33"/>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2、临停车费的对账可在</w:t>
      </w:r>
      <w:r>
        <w:rPr>
          <w:rFonts w:hint="eastAsia" w:ascii="黑体" w:hAnsi="黑体" w:eastAsia="黑体" w:cs="黑体"/>
          <w:color w:val="FF0000"/>
          <w:sz w:val="24"/>
          <w:szCs w:val="24"/>
          <w:lang w:val="en-US" w:eastAsia="zh-CN"/>
        </w:rPr>
        <w:t>报表管理-临停收费报表</w:t>
      </w:r>
      <w:r>
        <w:rPr>
          <w:rFonts w:hint="eastAsia" w:ascii="黑体" w:hAnsi="黑体" w:eastAsia="黑体" w:cs="黑体"/>
          <w:sz w:val="24"/>
          <w:szCs w:val="24"/>
          <w:lang w:val="en-US" w:eastAsia="zh-CN"/>
        </w:rPr>
        <w:t>中进行对账，分维度（年、月、日、时段）查看总览统计数据。</w:t>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临停收费报表统计信息的数据来源为形成完整进出场动作并产生停车费用的收费流水，该报表基本包含了所有停车计费收费业务有关信息。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34"/>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点击“详情”可查看该条记录下的收费流水，报表数据较多的情况下，可导出EXCEL报表，通过报表筛选所需数据进行对比。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35"/>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对单条收费记录有疑问可点击“详情”和“区域账单”查看更详细的信息和分区域计费详情。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36"/>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37"/>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21" w:name="_Toc24669"/>
      <w:r>
        <w:rPr>
          <w:rFonts w:hint="eastAsia" w:ascii="黑体" w:hAnsi="黑体" w:eastAsia="黑体" w:cs="黑体"/>
          <w:b/>
          <w:sz w:val="30"/>
          <w:szCs w:val="30"/>
          <w:lang w:val="en-US" w:eastAsia="zh-CN"/>
        </w:rPr>
        <w:t>（二）VIP的对账</w:t>
      </w:r>
      <w:bookmarkEnd w:id="21"/>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1、VIP的对账可在</w:t>
      </w:r>
      <w:r>
        <w:rPr>
          <w:rFonts w:hint="eastAsia" w:ascii="黑体" w:hAnsi="黑体" w:eastAsia="黑体" w:cs="黑体"/>
          <w:color w:val="FF0000"/>
          <w:sz w:val="24"/>
          <w:szCs w:val="24"/>
          <w:lang w:val="en-US" w:eastAsia="zh-CN"/>
        </w:rPr>
        <w:t>报表管理-VIP收费报表</w:t>
      </w:r>
      <w:r>
        <w:rPr>
          <w:rFonts w:hint="eastAsia" w:ascii="黑体" w:hAnsi="黑体" w:eastAsia="黑体" w:cs="黑体"/>
          <w:sz w:val="24"/>
          <w:szCs w:val="24"/>
          <w:lang w:val="en-US" w:eastAsia="zh-CN"/>
        </w:rPr>
        <w:t>中进行对账，分维度（年、月、日、时段）查看总览统计数据。</w:t>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VIP收费报表统计信息的数据来源为车主管理模块以及线上系统对VIP进行的相关操作数据，该报表基本覆盖了所有VIP业务有关信息。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38"/>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点击“详情”可查看该条记录下的VIP开通流水，报表数据较多的情况下，可导出EXCEL报表，通过报表筛选所需数据进行对比。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39"/>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点击“占比明细表”可查看该条记录下的支付方式和支付来源的占比明细表。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pic:cNvPicPr>
                  </pic:nvPicPr>
                  <pic:blipFill>
                    <a:blip r:embed="rId40"/>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41"/>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2、想要查看详细的VIP收费流水也可以在</w:t>
      </w:r>
      <w:r>
        <w:rPr>
          <w:rFonts w:hint="eastAsia" w:ascii="黑体" w:hAnsi="黑体" w:eastAsia="黑体" w:cs="黑体"/>
          <w:color w:val="FF0000"/>
          <w:sz w:val="24"/>
          <w:szCs w:val="24"/>
          <w:lang w:val="en-US" w:eastAsia="zh-CN"/>
        </w:rPr>
        <w:t>车主管理-VIP操作流水</w:t>
      </w:r>
      <w:r>
        <w:rPr>
          <w:rFonts w:hint="eastAsia" w:ascii="黑体" w:hAnsi="黑体" w:eastAsia="黑体" w:cs="黑体"/>
          <w:sz w:val="24"/>
          <w:szCs w:val="24"/>
          <w:lang w:val="en-US" w:eastAsia="zh-CN"/>
        </w:rPr>
        <w:t>模块中可查看详细的VIP操作流水。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42"/>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000000" w:themeColor="text1"/>
          <w:sz w:val="24"/>
          <w:szCs w:val="24"/>
          <w:lang w:val="en-US" w:eastAsia="zh-CN"/>
          <w14:textFill>
            <w14:solidFill>
              <w14:schemeClr w14:val="tx1"/>
            </w14:solidFill>
          </w14:textFill>
        </w:rPr>
        <w:t>3、</w:t>
      </w:r>
      <w:r>
        <w:rPr>
          <w:rFonts w:hint="eastAsia" w:ascii="黑体" w:hAnsi="黑体" w:eastAsia="黑体" w:cs="黑体"/>
          <w:color w:val="FF0000"/>
          <w:sz w:val="24"/>
          <w:szCs w:val="24"/>
          <w:lang w:val="en-US" w:eastAsia="zh-CN"/>
        </w:rPr>
        <w:t>储值车的对账</w:t>
      </w:r>
      <w:r>
        <w:rPr>
          <w:rFonts w:hint="eastAsia" w:ascii="黑体" w:hAnsi="黑体" w:eastAsia="黑体" w:cs="黑体"/>
          <w:sz w:val="24"/>
          <w:szCs w:val="24"/>
          <w:lang w:val="en-US" w:eastAsia="zh-CN"/>
        </w:rPr>
        <w:t>可在</w:t>
      </w:r>
      <w:r>
        <w:rPr>
          <w:rFonts w:hint="eastAsia" w:ascii="黑体" w:hAnsi="黑体" w:eastAsia="黑体" w:cs="黑体"/>
          <w:color w:val="FF0000"/>
          <w:sz w:val="24"/>
          <w:szCs w:val="24"/>
          <w:lang w:val="en-US" w:eastAsia="zh-CN"/>
        </w:rPr>
        <w:t>储值统计报表模块</w:t>
      </w:r>
      <w:r>
        <w:rPr>
          <w:rFonts w:hint="eastAsia" w:ascii="黑体" w:hAnsi="黑体" w:eastAsia="黑体" w:cs="黑体"/>
          <w:sz w:val="24"/>
          <w:szCs w:val="24"/>
          <w:lang w:val="en-US" w:eastAsia="zh-CN"/>
        </w:rPr>
        <w:t>查看详细的储值数据，储值统计报表主要展示了VIP用户的包括虚拟储值和实际金额的明细信息。期初储值+充值储值+误差调整储值-储值退款-账户消费储值=账户结余储值；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这里需注意的是：如果储值与金额的充值比例不能保证是1:1，即充值储值=充值金额的情况下，因为储值不等于金额，故储值和金额不能混合计算（如用“充值金额-储值退款-消费储值”计算出来的结果将是错误的）。储值和金额作为不同维度应分开进行计算。在进行数据统计汇总时，应确保储值和金额分开统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5"/>
                    <pic:cNvPicPr>
                      <a:picLocks noChangeAspect="1"/>
                    </pic:cNvPicPr>
                  </pic:nvPicPr>
                  <pic:blipFill>
                    <a:blip r:embed="rId43"/>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22" w:name="_Toc7593"/>
      <w:r>
        <w:rPr>
          <w:rFonts w:hint="eastAsia" w:ascii="黑体" w:hAnsi="黑体" w:eastAsia="黑体" w:cs="黑体"/>
          <w:b/>
          <w:sz w:val="30"/>
          <w:szCs w:val="30"/>
          <w:lang w:val="en-US" w:eastAsia="zh-CN"/>
        </w:rPr>
        <w:t>（三）其他报表的使用介绍</w:t>
      </w:r>
      <w:bookmarkEnd w:id="2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进出场报表</w:t>
      </w:r>
      <w:r>
        <w:rPr>
          <w:rFonts w:hint="eastAsia" w:ascii="黑体" w:hAnsi="黑体" w:eastAsia="黑体" w:cs="黑体"/>
          <w:sz w:val="24"/>
          <w:szCs w:val="24"/>
          <w:lang w:val="en-US" w:eastAsia="zh-CN"/>
        </w:rPr>
        <w:t>：进出场报表的数据来源为进出场管理模块，主要统计各种类型的进出场车辆数量。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6"/>
                    <pic:cNvPicPr>
                      <a:picLocks noChangeAspect="1"/>
                    </pic:cNvPicPr>
                  </pic:nvPicPr>
                  <pic:blipFill>
                    <a:blip r:embed="rId4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收费员报表</w:t>
      </w:r>
      <w:r>
        <w:rPr>
          <w:rFonts w:hint="eastAsia" w:ascii="黑体" w:hAnsi="黑体" w:eastAsia="黑体" w:cs="黑体"/>
          <w:sz w:val="24"/>
          <w:szCs w:val="24"/>
          <w:lang w:val="en-US" w:eastAsia="zh-CN"/>
        </w:rPr>
        <w:t>：收费员报表主要展示了收费员在岗亭/中央收费系统的操作数据。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7"/>
                    <pic:cNvPicPr>
                      <a:picLocks noChangeAspect="1"/>
                    </pic:cNvPicPr>
                  </pic:nvPicPr>
                  <pic:blipFill>
                    <a:blip r:embed="rId4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交接班记录</w:t>
      </w:r>
      <w:r>
        <w:rPr>
          <w:rFonts w:hint="eastAsia" w:ascii="黑体" w:hAnsi="黑体" w:eastAsia="黑体" w:cs="黑体"/>
          <w:sz w:val="24"/>
          <w:szCs w:val="24"/>
          <w:lang w:val="en-US" w:eastAsia="zh-CN"/>
        </w:rPr>
        <w:t>：交接班记录报表记录了收费员当班时的操作收据和交接班情况。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9"/>
                    <pic:cNvPicPr>
                      <a:picLocks noChangeAspect="1"/>
                    </pic:cNvPicPr>
                  </pic:nvPicPr>
                  <pic:blipFill>
                    <a:blip r:embed="rId4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widowControl w:val="0"/>
        <w:numPr>
          <w:ilvl w:val="0"/>
          <w:numId w:val="0"/>
        </w:numPr>
        <w:spacing w:line="360" w:lineRule="auto"/>
        <w:ind w:left="480" w:leftChars="200" w:firstLine="0" w:firstLineChars="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确认回款：确认回款是提供给财务的一个功能，用于标记收费员已经把这笔钱给到财务了。</w:t>
      </w:r>
    </w:p>
    <w:p>
      <w:pPr>
        <w:widowControl w:val="0"/>
        <w:numPr>
          <w:ilvl w:val="0"/>
          <w:numId w:val="0"/>
        </w:numPr>
        <w:spacing w:line="360" w:lineRule="auto"/>
        <w:ind w:firstLine="480" w:firstLineChars="200"/>
        <w:jc w:val="both"/>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确认回款操作只能执行一次</w:t>
      </w:r>
      <w:r>
        <w:rPr>
          <w:rFonts w:hint="eastAsia" w:ascii="黑体" w:hAnsi="黑体" w:eastAsia="黑体" w:cs="黑体"/>
          <w:sz w:val="24"/>
          <w:szCs w:val="24"/>
          <w:lang w:val="en-US" w:eastAsia="zh-CN"/>
        </w:rPr>
        <w:t>，在操作员确认财务人员实际回款数目的时候执行确认回款。执行过该操作后该按钮隐藏。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8"/>
                    <pic:cNvPicPr>
                      <a:picLocks noChangeAspect="1"/>
                    </pic:cNvPicPr>
                  </pic:nvPicPr>
                  <pic:blipFill>
                    <a:blip r:embed="rId4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通道进出报表</w:t>
      </w:r>
      <w:r>
        <w:rPr>
          <w:rFonts w:hint="eastAsia" w:ascii="黑体" w:hAnsi="黑体" w:eastAsia="黑体" w:cs="黑体"/>
          <w:sz w:val="24"/>
          <w:szCs w:val="24"/>
          <w:lang w:val="en-US" w:eastAsia="zh-CN"/>
        </w:rPr>
        <w:t>：通道进出报表展示了各种类型车辆在通道的进出情况。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0"/>
                    <pic:cNvPicPr>
                      <a:picLocks noChangeAspect="1"/>
                    </pic:cNvPicPr>
                  </pic:nvPicPr>
                  <pic:blipFill>
                    <a:blip r:embed="rId4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支付统计报表</w:t>
      </w:r>
      <w:r>
        <w:rPr>
          <w:rFonts w:hint="eastAsia" w:ascii="黑体" w:hAnsi="黑体" w:eastAsia="黑体" w:cs="黑体"/>
          <w:sz w:val="24"/>
          <w:szCs w:val="24"/>
          <w:lang w:val="en-US" w:eastAsia="zh-CN"/>
        </w:rPr>
        <w:t>：展示停车费支付信息的统计，包括交易汇总、支付来源和支付方式的分析统计，从此报表可以清晰的了解到用户最经常使用的支付方式及支付来源，有利于停车场自身服务的完善及发展。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both"/>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1"/>
                    <pic:cNvPicPr>
                      <a:picLocks noChangeAspect="1"/>
                    </pic:cNvPicPr>
                  </pic:nvPicPr>
                  <pic:blipFill>
                    <a:blip r:embed="rId49"/>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通道收费报表</w:t>
      </w:r>
      <w:r>
        <w:rPr>
          <w:rFonts w:hint="eastAsia" w:ascii="黑体" w:hAnsi="黑体" w:eastAsia="黑体" w:cs="黑体"/>
          <w:sz w:val="24"/>
          <w:szCs w:val="24"/>
          <w:lang w:val="en-US" w:eastAsia="zh-CN"/>
        </w:rPr>
        <w:t>：通道收费报表展示了车辆在通道的正常、异常、补缴、优惠等收费情况。</w:t>
      </w:r>
    </w:p>
    <w:p>
      <w:pPr>
        <w:widowControl w:val="0"/>
        <w:numPr>
          <w:ilvl w:val="0"/>
          <w:numId w:val="0"/>
        </w:numPr>
        <w:spacing w:line="360" w:lineRule="auto"/>
        <w:jc w:val="both"/>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2"/>
                    <pic:cNvPicPr>
                      <a:picLocks noChangeAspect="1"/>
                    </pic:cNvPicPr>
                  </pic:nvPicPr>
                  <pic:blipFill>
                    <a:blip r:embed="rId50"/>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发票统计报表</w:t>
      </w:r>
      <w:r>
        <w:rPr>
          <w:rFonts w:hint="eastAsia" w:ascii="黑体" w:hAnsi="黑体" w:eastAsia="黑体" w:cs="黑体"/>
          <w:sz w:val="24"/>
          <w:szCs w:val="24"/>
          <w:lang w:val="en-US" w:eastAsia="zh-CN"/>
        </w:rPr>
        <w:t>：发票统计报表展示了停车场开具发票的具体情况，点击详情可查看该条记录下的发票开具流水。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3"/>
                    <pic:cNvPicPr>
                      <a:picLocks noChangeAspect="1"/>
                    </pic:cNvPicPr>
                  </pic:nvPicPr>
                  <pic:blipFill>
                    <a:blip r:embed="rId51"/>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5"/>
                    <pic:cNvPicPr>
                      <a:picLocks noChangeAspect="1"/>
                    </pic:cNvPicPr>
                  </pic:nvPicPr>
                  <pic:blipFill>
                    <a:blip r:embed="rId52"/>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识别率报表</w:t>
      </w:r>
      <w:r>
        <w:rPr>
          <w:rFonts w:hint="eastAsia" w:ascii="黑体" w:hAnsi="黑体" w:eastAsia="黑体" w:cs="黑体"/>
          <w:sz w:val="24"/>
          <w:szCs w:val="24"/>
          <w:lang w:val="en-US" w:eastAsia="zh-CN"/>
        </w:rPr>
        <w:t>：展示了通道对车牌的识别率统计情况。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4"/>
                    <pic:cNvPicPr>
                      <a:picLocks noChangeAspect="1"/>
                    </pic:cNvPicPr>
                  </pic:nvPicPr>
                  <pic:blipFill>
                    <a:blip r:embed="rId53"/>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23" w:name="_Toc13103"/>
      <w:bookmarkStart w:id="24" w:name="_GoBack"/>
      <w:bookmarkEnd w:id="24"/>
      <w:r>
        <w:rPr>
          <w:rFonts w:hint="eastAsia" w:ascii="黑体" w:hAnsi="黑体" w:eastAsia="黑体" w:cs="黑体"/>
          <w:b/>
          <w:sz w:val="32"/>
          <w:szCs w:val="32"/>
          <w:lang w:val="en-US" w:eastAsia="zh-CN"/>
        </w:rPr>
        <w:t>本地优惠配置流程--优惠券</w:t>
      </w:r>
      <w:bookmarkEnd w:id="2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在优惠券页面，人工优惠配置。新增优惠，按规则设定，保存并启用后，岗亭端或中央收费端刷新即可使用。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5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被勾选的适用停车场才能在收费界面上显示该人工优惠券的选项。优惠券类型则分为免费、金额优惠、折扣优惠、时间优惠、特殊计费方式五类，具体优惠方式如下：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343400" cy="1327150"/>
            <wp:effectExtent l="0" t="0" r="0" b="635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55"/>
                    <a:stretch>
                      <a:fillRect/>
                    </a:stretch>
                  </pic:blipFill>
                  <pic:spPr>
                    <a:xfrm>
                      <a:off x="0" y="0"/>
                      <a:ext cx="4343400" cy="13271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免费</w:t>
      </w:r>
      <w:r>
        <w:rPr>
          <w:rFonts w:hint="eastAsia" w:ascii="黑体" w:hAnsi="黑体" w:eastAsia="黑体" w:cs="黑体"/>
          <w:sz w:val="24"/>
          <w:szCs w:val="24"/>
          <w:lang w:val="en-US" w:eastAsia="zh-CN"/>
        </w:rPr>
        <w:t>：车主需付费用为0。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lang w:val="en-US" w:eastAsia="zh-CN"/>
        </w:rPr>
      </w:pPr>
      <w:r>
        <w:rPr>
          <w:rFonts w:hint="eastAsia" w:ascii="黑体" w:hAnsi="黑体" w:eastAsia="黑体" w:cs="黑体"/>
          <w:b/>
          <w:bCs/>
          <w:sz w:val="24"/>
          <w:szCs w:val="24"/>
          <w:lang w:val="en-US" w:eastAsia="zh-CN"/>
        </w:rPr>
        <w:t>金额扣减</w:t>
      </w:r>
      <w:r>
        <w:rPr>
          <w:rFonts w:hint="eastAsia" w:ascii="黑体" w:hAnsi="黑体" w:eastAsia="黑体" w:cs="黑体"/>
          <w:sz w:val="24"/>
          <w:szCs w:val="24"/>
          <w:lang w:val="en-US" w:eastAsia="zh-CN"/>
        </w:rPr>
        <w:t>：在需付费用的基础上减去固定面值的金额，填入优惠的金额即可，如优惠2元，填入2即可。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金额折扣</w:t>
      </w:r>
      <w:r>
        <w:rPr>
          <w:rFonts w:hint="eastAsia" w:ascii="黑体" w:hAnsi="黑体" w:eastAsia="黑体" w:cs="黑体"/>
          <w:sz w:val="24"/>
          <w:szCs w:val="24"/>
          <w:lang w:val="en-US" w:eastAsia="zh-CN"/>
        </w:rPr>
        <w:t>：在需付费用的基础上打折，按打折后得出的金额付费。如7.5折填入75，如8折填入80。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489450" cy="787400"/>
            <wp:effectExtent l="0" t="0" r="6350" b="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56"/>
                    <a:stretch>
                      <a:fillRect/>
                    </a:stretch>
                  </pic:blipFill>
                  <pic:spPr>
                    <a:xfrm>
                      <a:off x="0" y="0"/>
                      <a:ext cx="448945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金额固定值</w:t>
      </w:r>
      <w:r>
        <w:rPr>
          <w:rFonts w:hint="eastAsia" w:ascii="黑体" w:hAnsi="黑体" w:eastAsia="黑体" w:cs="黑体"/>
          <w:sz w:val="24"/>
          <w:szCs w:val="24"/>
          <w:lang w:val="en-US" w:eastAsia="zh-CN"/>
        </w:rPr>
        <w:t>：忽略需付费用，直接按固定金额数付费。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时间</w:t>
      </w:r>
      <w:r>
        <w:rPr>
          <w:rFonts w:hint="eastAsia" w:ascii="黑体" w:hAnsi="黑体" w:eastAsia="黑体" w:cs="黑体"/>
          <w:sz w:val="24"/>
          <w:szCs w:val="24"/>
          <w:lang w:val="en-US" w:eastAsia="zh-CN"/>
        </w:rPr>
        <w:t>：在停车总时长的基础上减去优惠时长，面值单位分钟。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533900" cy="787400"/>
            <wp:effectExtent l="0" t="0" r="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57"/>
                    <a:stretch>
                      <a:fillRect/>
                    </a:stretch>
                  </pic:blipFill>
                  <pic:spPr>
                    <a:xfrm>
                      <a:off x="0" y="0"/>
                      <a:ext cx="453390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不同计价</w:t>
      </w:r>
      <w:r>
        <w:rPr>
          <w:rFonts w:hint="eastAsia" w:ascii="黑体" w:hAnsi="黑体" w:eastAsia="黑体" w:cs="黑体"/>
          <w:sz w:val="24"/>
          <w:szCs w:val="24"/>
          <w:lang w:val="en-US" w:eastAsia="zh-CN"/>
        </w:rPr>
        <w:t>：在停车费用结算时采用另外配置的计费规则来计算需付费用。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464050" cy="1581150"/>
            <wp:effectExtent l="0" t="0" r="6350" b="6350"/>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58"/>
                    <a:stretch>
                      <a:fillRect/>
                    </a:stretch>
                  </pic:blipFill>
                  <pic:spPr>
                    <a:xfrm>
                      <a:off x="0" y="0"/>
                      <a:ext cx="4464050" cy="15811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时间段封顶</w:t>
      </w:r>
      <w:r>
        <w:rPr>
          <w:rFonts w:hint="eastAsia" w:ascii="黑体" w:hAnsi="黑体" w:eastAsia="黑体" w:cs="黑体"/>
          <w:sz w:val="24"/>
          <w:szCs w:val="24"/>
          <w:lang w:val="en-US" w:eastAsia="zh-CN"/>
        </w:rPr>
        <w:t>：即在设定的时间段内封顶xx元，超出设定的时间段则按原计费规则计费。如某停车场12:00-14:00期间封顶1元，其他时间按默认计费规则每小时5元计算，A车在从12点停至17点，那么12:00-14:00之间收费1元，14:00-17:00按默认计费规则算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546600" cy="1289050"/>
            <wp:effectExtent l="0" t="0" r="0" b="6350"/>
            <wp:docPr id="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0"/>
                    <pic:cNvPicPr>
                      <a:picLocks noChangeAspect="1"/>
                    </pic:cNvPicPr>
                  </pic:nvPicPr>
                  <pic:blipFill>
                    <a:blip r:embed="rId59"/>
                    <a:stretch>
                      <a:fillRect/>
                    </a:stretch>
                  </pic:blipFill>
                  <pic:spPr>
                    <a:xfrm>
                      <a:off x="0" y="0"/>
                      <a:ext cx="4546600" cy="12890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使用条件：默认不限制使用条件，可切换为限制，限制时显示自定义金额范围条件如下图，表示需付费用在金额限定范围内此人工优惠配置才生效。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4895850" cy="787400"/>
            <wp:effectExtent l="0" t="0" r="6350" b="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60"/>
                    <a:stretch>
                      <a:fillRect/>
                    </a:stretch>
                  </pic:blipFill>
                  <pic:spPr>
                    <a:xfrm>
                      <a:off x="0" y="0"/>
                      <a:ext cx="489585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icrosoft JhengHei">
    <w:panose1 w:val="020B0604030504040204"/>
    <w:charset w:val="88"/>
    <w:family w:val="auto"/>
    <w:pitch w:val="default"/>
    <w:sig w:usb0="000002A7" w:usb1="28CF4400" w:usb2="00000016" w:usb3="00000000" w:csb0="00100009"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B2999"/>
    <w:multiLevelType w:val="singleLevel"/>
    <w:tmpl w:val="12BB2999"/>
    <w:lvl w:ilvl="0" w:tentative="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C405E8"/>
    <w:rsid w:val="30C40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uiPriority w:val="0"/>
  </w:style>
  <w:style w:type="table" w:default="1" w:styleId="10">
    <w:name w:val="Normal Table"/>
    <w:semiHidden/>
    <w:uiPriority w:val="0"/>
    <w:tblPr>
      <w:tblLayout w:type="fixed"/>
      <w:tblCellMar>
        <w:top w:w="0" w:type="dxa"/>
        <w:left w:w="108" w:type="dxa"/>
        <w:bottom w:w="0" w:type="dxa"/>
        <w:right w:w="108" w:type="dxa"/>
      </w:tblCellMar>
    </w:tblPr>
  </w:style>
  <w:style w:type="paragraph" w:styleId="5">
    <w:name w:val="Normal Indent"/>
    <w:basedOn w:val="1"/>
    <w:qFormat/>
    <w:uiPriority w:val="0"/>
    <w:pPr>
      <w:ind w:firstLine="420"/>
    </w:p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emf"/><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6.png"/><Relationship Id="rId6" Type="http://schemas.openxmlformats.org/officeDocument/2006/relationships/oleObject" Target="embeddings/oleObject1.bin"/><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2018-09-18T07:01:00Z</dcterms:created>
  <dc:creator>北北</dc:creator>
  <cp:lastModifiedBy>北北</cp:lastModifiedBy>
  <dcterms:modified xsi:type="dcterms:W3CDTF">2018-09-18T07:04:30Z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